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263862200236886220100101430015829244)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bidi w:val="0"/>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 xml:space="preserve">услуги по </w:t>
      </w:r>
      <w:r>
        <w:rPr>
          <w:rFonts w:ascii="PT Astra Serif" w:hAnsi="PT Astra Serif"/>
          <w:color w:val="000099"/>
          <w:sz w:val="24"/>
          <w:szCs w:val="24"/>
        </w:rPr>
        <w:t>получению обновлений и техническому сопровождению используемого программного обеспечения «КИТ-Журнал»</w:t>
      </w:r>
      <w:r>
        <w:rPr>
          <w:rFonts w:ascii="PT Astra Serif" w:hAnsi="PT Astra Serif"/>
          <w:color w:val="000099"/>
          <w:szCs w:val="24"/>
        </w:rPr>
        <w:t>,</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4"/>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128"/>
        <w:keepNext w:val="true"/>
        <w:spacing w:lineRule="auto" w:line="240" w:before="0" w:after="0"/>
        <w:ind w:start="709"/>
        <w:jc w:val="center"/>
        <w:rPr>
          <w:rFonts w:ascii="PT Astra Serif" w:hAnsi="PT Astra Serif"/>
          <w:b/>
          <w:szCs w:val="24"/>
        </w:rPr>
      </w:pPr>
      <w:r>
        <w:rPr>
          <w:rFonts w:ascii="PT Astra Serif" w:hAnsi="PT Astra Serif"/>
          <w:b/>
          <w:szCs w:val="24"/>
        </w:rPr>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 xml:space="preserve">Источник финансирования: </w:t>
      </w:r>
      <w:r>
        <w:rPr>
          <w:rFonts w:ascii="PT Astra Serif" w:hAnsi="PT Astra Serif"/>
          <w:color w:val="000099"/>
          <w:szCs w:val="24"/>
        </w:rPr>
        <w:t>бюджет города Югорска на 2026 год (муниципальная программа города Югорска «Развитие информационного общества»).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4"/>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4"/>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4"/>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4"/>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4"/>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4"/>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4"/>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4"/>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4"/>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4"/>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4"/>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Style44"/>
        <w:spacing w:lineRule="auto" w:line="24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момента заключения муниципального контракта по 31.10.2026.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4"/>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20 (двадцати)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rPr>
        <w:t>5% от цены, по которой в соответствии с Законом о контрактной системе, будет заключён контракт.</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Банк получателя: </w:t>
      </w:r>
      <w:r>
        <w:rPr>
          <w:rFonts w:cs="Times New Roman"/>
          <w:sz w:val="24"/>
          <w:szCs w:val="24"/>
        </w:rPr>
        <w:t>ОКЦ №8 Уральского ГУ Банка России,  БИК 007162163, счёт 40102810245370000007, казначейский счёт получателя 0323264371887008700.</w:t>
      </w:r>
    </w:p>
    <w:p>
      <w:pPr>
        <w:pStyle w:val="Normal"/>
        <w:bidi w:val="0"/>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на оказание услуг по получению обновлений и техническому сопровождению используемого программного обеспечения «КИТ-Журнал».</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4"/>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4"/>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4"/>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по 23.12.2026.</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spacing w:lineRule="auto" w:line="240" w:before="0" w:after="0"/>
        <w:ind w:firstLine="709"/>
        <w:jc w:val="both"/>
        <w:rPr>
          <w:rFonts w:ascii="PT Astra Serif" w:hAnsi="PT Astra Serif"/>
          <w:szCs w:val="24"/>
        </w:rPr>
      </w:pPr>
      <w:r>
        <w:rPr>
          <w:rFonts w:ascii="PT Astra Serif" w:hAnsi="PT Astra Serif"/>
          <w:szCs w:val="24"/>
        </w:rPr>
        <w:t>- Спецификация (Приложение 2).</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65"/>
        <w:gridCol w:w="4540"/>
      </w:tblGrid>
      <w:tr>
        <w:trPr/>
        <w:tc>
          <w:tcPr>
            <w:tcW w:w="5665"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40"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bidi w:val="0"/>
        <w:ind w:firstLine="709"/>
        <w:jc w:val="both"/>
        <w:rPr>
          <w:rFonts w:ascii="PT Astra Serif" w:hAnsi="PT Astra Serif"/>
          <w:sz w:val="24"/>
          <w:szCs w:val="24"/>
        </w:rPr>
      </w:pPr>
      <w:bookmarkStart w:id="4" w:name="OLE_LINK9"/>
      <w:bookmarkStart w:id="5" w:name="OLE_LINK10"/>
      <w:r>
        <w:rPr>
          <w:rFonts w:ascii="PT Astra Serif" w:hAnsi="PT Astra Serif"/>
          <w:b/>
          <w:bCs/>
          <w:sz w:val="24"/>
          <w:szCs w:val="24"/>
        </w:rPr>
        <w:t>1. Предмет муниципального контракта:</w:t>
      </w:r>
      <w:r>
        <w:rPr>
          <w:rFonts w:ascii="PT Astra Serif" w:hAnsi="PT Astra Serif"/>
          <w:sz w:val="24"/>
          <w:szCs w:val="24"/>
        </w:rPr>
        <w:t xml:space="preserve"> оказание услуг по получению обновлений и техническому сопровождению используемого программного обеспечения «КИТ-Журнал».</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sz w:val="24"/>
          <w:szCs w:val="24"/>
        </w:rPr>
      </w:pPr>
      <w:r>
        <w:rPr>
          <w:rFonts w:ascii="PT Astra Serif" w:hAnsi="PT Astra Serif"/>
          <w:b/>
          <w:bCs/>
          <w:sz w:val="24"/>
          <w:szCs w:val="24"/>
        </w:rPr>
        <w:t>2. Общие требования:</w:t>
      </w:r>
    </w:p>
    <w:p>
      <w:pPr>
        <w:pStyle w:val="Normal"/>
        <w:ind w:firstLine="709"/>
        <w:jc w:val="both"/>
        <w:rPr>
          <w:rFonts w:ascii="PT Astra Serif" w:hAnsi="PT Astra Serif"/>
          <w:sz w:val="24"/>
          <w:szCs w:val="24"/>
        </w:rPr>
      </w:pPr>
      <w:r>
        <w:rPr>
          <w:rFonts w:ascii="PT Astra Serif" w:hAnsi="PT Astra Serif"/>
          <w:sz w:val="24"/>
          <w:szCs w:val="24"/>
        </w:rPr>
        <w:t>2.1. Место оказания услуг: Ханты-Мансийский автономный округ – Югра, г. Югорск, ул. 40 лет Победы, д.11.</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bookmarkEnd w:id="4"/>
      <w:bookmarkEnd w:id="5"/>
      <w:r>
        <w:rPr>
          <w:rFonts w:ascii="PT Astra Serif" w:hAnsi="PT Astra Serif"/>
          <w:color w:val="00000A"/>
          <w:sz w:val="24"/>
          <w:szCs w:val="24"/>
        </w:rPr>
        <w:t>2.2. Срок оказания услуг сопровождения и технической поддержки программного обеспечения - не менее 12 (двенадцати) месяцев с даты подписания Заказчиком документа о приёмке, предусмотренного муниципальным контрактом.</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r>
        <w:rPr>
          <w:rFonts w:ascii="PT Astra Serif" w:hAnsi="PT Astra Serif"/>
          <w:color w:val="00000A"/>
          <w:sz w:val="24"/>
          <w:szCs w:val="24"/>
        </w:rPr>
      </w:r>
    </w:p>
    <w:p>
      <w:pPr>
        <w:pStyle w:val="Normal"/>
        <w:widowControl w:val="false"/>
        <w:tabs>
          <w:tab w:val="clear" w:pos="708"/>
          <w:tab w:val="left" w:pos="709" w:leader="none"/>
        </w:tabs>
        <w:suppressAutoHyphens w:val="true"/>
        <w:ind w:firstLine="709"/>
        <w:rPr>
          <w:rFonts w:ascii="PT Astra Serif" w:hAnsi="PT Astra Serif"/>
          <w:color w:val="00000A"/>
          <w:sz w:val="24"/>
        </w:rPr>
      </w:pPr>
      <w:r>
        <w:rPr>
          <w:rFonts w:ascii="PT Astra Serif" w:hAnsi="PT Astra Serif"/>
          <w:b/>
          <w:bCs/>
          <w:color w:val="00000A"/>
          <w:sz w:val="24"/>
        </w:rPr>
        <w:t>3. Перечень предоставляемых услуг:</w:t>
      </w:r>
    </w:p>
    <w:tbl>
      <w:tblPr>
        <w:tblW w:w="10206"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7"/>
        <w:gridCol w:w="1276"/>
        <w:gridCol w:w="1843"/>
        <w:gridCol w:w="4990"/>
        <w:gridCol w:w="820"/>
        <w:gridCol w:w="710"/>
      </w:tblGrid>
      <w:tr>
        <w:trPr/>
        <w:tc>
          <w:tcPr>
            <w:tcW w:w="56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27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990"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закупаемых товаров установленным Заказчиком требованиям</w:t>
            </w:r>
          </w:p>
        </w:tc>
        <w:tc>
          <w:tcPr>
            <w:tcW w:w="820"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710"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67" w:type="dxa"/>
            <w:tcBorders>
              <w:start w:val="single" w:sz="4" w:space="0" w:color="000000"/>
              <w:bottom w:val="single" w:sz="4" w:space="0" w:color="000000"/>
            </w:tcBorders>
          </w:tcPr>
          <w:p>
            <w:pPr>
              <w:pStyle w:val="Normal"/>
              <w:jc w:val="center"/>
              <w:rPr>
                <w:rFonts w:ascii="PT Astra Serif" w:hAnsi="PT Astra Serif"/>
              </w:rPr>
            </w:pPr>
            <w:r>
              <w:rPr>
                <w:rFonts w:ascii="PT Astra Serif" w:hAnsi="PT Astra Serif"/>
              </w:rPr>
              <w:t>1</w:t>
            </w:r>
          </w:p>
        </w:tc>
        <w:tc>
          <w:tcPr>
            <w:tcW w:w="1276" w:type="dxa"/>
            <w:tcBorders>
              <w:star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rPr>
              <w:t>58.29.50.000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предоставлению лицензий на право использовать компьютерное программное обеспечение</w:t>
            </w:r>
          </w:p>
        </w:tc>
        <w:tc>
          <w:tcPr>
            <w:tcW w:w="4990" w:type="dxa"/>
            <w:tcBorders>
              <w:star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Передача лицензии на получение обновлений и техническое сопровождение используемого программного обеспечения «КИТ-Журнал: эксперт», конфигурация "Информационная безопасность», на срок 1 год.</w:t>
            </w:r>
          </w:p>
          <w:p>
            <w:pPr>
              <w:pStyle w:val="Normal"/>
              <w:bidi w:val="0"/>
              <w:jc w:val="both"/>
              <w:rPr>
                <w:rFonts w:ascii="PT Astra Serif" w:hAnsi="PT Astra Serif"/>
                <w:szCs w:val="16"/>
              </w:rPr>
            </w:pPr>
            <w:r>
              <w:rPr>
                <w:rFonts w:ascii="PT Astra Serif" w:hAnsi="PT Astra Serif"/>
                <w:szCs w:val="16"/>
              </w:rPr>
              <w:t>Лицензия включает:</w:t>
            </w:r>
          </w:p>
          <w:p>
            <w:pPr>
              <w:pStyle w:val="Normal"/>
              <w:bidi w:val="0"/>
              <w:jc w:val="both"/>
              <w:rPr>
                <w:rFonts w:ascii="PT Astra Serif" w:hAnsi="PT Astra Serif"/>
                <w:szCs w:val="16"/>
              </w:rPr>
            </w:pPr>
            <w:r>
              <w:rPr>
                <w:rFonts w:ascii="PT Astra Serif" w:hAnsi="PT Astra Serif"/>
                <w:szCs w:val="16"/>
              </w:rPr>
              <w:t>1. Получение обновлений программного обеспечения «КИТ-Журнал», включающих:</w:t>
            </w:r>
          </w:p>
          <w:p>
            <w:pPr>
              <w:pStyle w:val="Normal"/>
              <w:bidi w:val="0"/>
              <w:jc w:val="both"/>
              <w:rPr>
                <w:rFonts w:ascii="PT Astra Serif" w:hAnsi="PT Astra Serif"/>
                <w:szCs w:val="16"/>
              </w:rPr>
            </w:pPr>
            <w:r>
              <w:rPr>
                <w:rFonts w:ascii="PT Astra Serif" w:hAnsi="PT Astra Serif"/>
                <w:szCs w:val="16"/>
              </w:rPr>
              <w:t>- исправление выявленных ошибок в работе программного обеспечения;</w:t>
            </w:r>
          </w:p>
          <w:p>
            <w:pPr>
              <w:pStyle w:val="Normal"/>
              <w:bidi w:val="0"/>
              <w:jc w:val="both"/>
              <w:rPr>
                <w:rFonts w:ascii="PT Astra Serif" w:hAnsi="PT Astra Serif"/>
                <w:szCs w:val="16"/>
              </w:rPr>
            </w:pPr>
            <w:r>
              <w:rPr>
                <w:rFonts w:ascii="PT Astra Serif" w:hAnsi="PT Astra Serif"/>
                <w:szCs w:val="16"/>
              </w:rPr>
              <w:t>- изменения пользовательского функционала программного обеспечения, связанные с повышением удобства</w:t>
            </w:r>
          </w:p>
          <w:p>
            <w:pPr>
              <w:pStyle w:val="Normal"/>
              <w:bidi w:val="0"/>
              <w:jc w:val="both"/>
              <w:rPr>
                <w:rFonts w:ascii="PT Astra Serif" w:hAnsi="PT Astra Serif"/>
                <w:szCs w:val="16"/>
              </w:rPr>
            </w:pPr>
            <w:r>
              <w:rPr>
                <w:rFonts w:ascii="PT Astra Serif" w:hAnsi="PT Astra Serif"/>
                <w:szCs w:val="16"/>
              </w:rPr>
              <w:t>использования;</w:t>
            </w:r>
          </w:p>
          <w:p>
            <w:pPr>
              <w:pStyle w:val="Normal"/>
              <w:bidi w:val="0"/>
              <w:jc w:val="both"/>
              <w:rPr>
                <w:rFonts w:ascii="PT Astra Serif" w:hAnsi="PT Astra Serif"/>
                <w:szCs w:val="16"/>
              </w:rPr>
            </w:pPr>
            <w:r>
              <w:rPr>
                <w:rFonts w:ascii="PT Astra Serif" w:hAnsi="PT Astra Serif"/>
                <w:szCs w:val="16"/>
              </w:rPr>
              <w:t>- корректировка состава полей журналов;</w:t>
            </w:r>
          </w:p>
          <w:p>
            <w:pPr>
              <w:pStyle w:val="Normal"/>
              <w:bidi w:val="0"/>
              <w:jc w:val="both"/>
              <w:rPr>
                <w:rFonts w:ascii="PT Astra Serif" w:hAnsi="PT Astra Serif"/>
                <w:szCs w:val="16"/>
              </w:rPr>
            </w:pPr>
            <w:r>
              <w:rPr>
                <w:rFonts w:ascii="PT Astra Serif" w:hAnsi="PT Astra Serif"/>
                <w:szCs w:val="16"/>
              </w:rPr>
              <w:t>- добавление связанных с основным функционалом системы форм и экземпляров журналов;</w:t>
            </w:r>
          </w:p>
          <w:p>
            <w:pPr>
              <w:pStyle w:val="Normal"/>
              <w:bidi w:val="0"/>
              <w:jc w:val="both"/>
              <w:rPr>
                <w:rFonts w:ascii="PT Astra Serif" w:hAnsi="PT Astra Serif"/>
                <w:szCs w:val="16"/>
              </w:rPr>
            </w:pPr>
            <w:r>
              <w:rPr>
                <w:rFonts w:ascii="PT Astra Serif" w:hAnsi="PT Astra Serif"/>
                <w:szCs w:val="16"/>
              </w:rPr>
              <w:t>- увеличение производительности системы.</w:t>
            </w:r>
          </w:p>
          <w:p>
            <w:pPr>
              <w:pStyle w:val="Normal"/>
              <w:bidi w:val="0"/>
              <w:jc w:val="both"/>
              <w:rPr>
                <w:rFonts w:ascii="PT Astra Serif" w:hAnsi="PT Astra Serif"/>
                <w:szCs w:val="16"/>
              </w:rPr>
            </w:pPr>
            <w:r>
              <w:rPr>
                <w:rFonts w:ascii="PT Astra Serif" w:hAnsi="PT Astra Serif"/>
                <w:szCs w:val="16"/>
              </w:rPr>
              <w:t>2. Удаленную (по каналам связи) техническую поддержку программного обеспечения системы.</w:t>
            </w:r>
          </w:p>
          <w:p>
            <w:pPr>
              <w:pStyle w:val="Normal"/>
              <w:bidi w:val="0"/>
              <w:jc w:val="both"/>
              <w:rPr>
                <w:rFonts w:ascii="PT Astra Serif" w:hAnsi="PT Astra Serif"/>
                <w:szCs w:val="16"/>
              </w:rPr>
            </w:pPr>
            <w:r>
              <w:rPr>
                <w:rFonts w:ascii="PT Astra Serif" w:hAnsi="PT Astra Serif"/>
                <w:szCs w:val="16"/>
              </w:rPr>
              <w:t>3. Экспертную информационную поддержку по вопросам использования программного обеспечения «КИТ-Журнал»</w:t>
            </w:r>
          </w:p>
          <w:p>
            <w:pPr>
              <w:pStyle w:val="Normal"/>
              <w:bidi w:val="0"/>
              <w:jc w:val="both"/>
              <w:rPr>
                <w:rFonts w:ascii="PT Astra Serif" w:hAnsi="PT Astra Serif"/>
                <w:szCs w:val="16"/>
              </w:rPr>
            </w:pPr>
            <w:r>
              <w:rPr>
                <w:rFonts w:ascii="PT Astra Serif" w:hAnsi="PT Astra Serif"/>
                <w:szCs w:val="16"/>
              </w:rPr>
              <w:t>по e-mail.</w:t>
            </w:r>
          </w:p>
        </w:tc>
        <w:tc>
          <w:tcPr>
            <w:tcW w:w="820" w:type="dxa"/>
            <w:tcBorders>
              <w:start w:val="single" w:sz="4" w:space="0" w:color="000000"/>
              <w:bottom w:val="single" w:sz="4" w:space="0" w:color="000000"/>
            </w:tcBorders>
            <w:shd w:color="auto" w:fill="auto" w:val="clear"/>
          </w:tcPr>
          <w:p>
            <w:pPr>
              <w:pStyle w:val="Normal"/>
              <w:spacing w:before="0" w:after="60"/>
              <w:jc w:val="center"/>
              <w:rPr>
                <w:rFonts w:ascii="PT Astra Serif" w:hAnsi="PT Astra Serif"/>
                <w:sz w:val="24"/>
                <w:szCs w:val="24"/>
              </w:rPr>
            </w:pPr>
            <w:r>
              <w:rPr>
                <w:rFonts w:ascii="PT Astra Serif" w:hAnsi="PT Astra Serif"/>
              </w:rPr>
              <w:t>штука</w:t>
            </w:r>
          </w:p>
        </w:tc>
        <w:tc>
          <w:tcPr>
            <w:tcW w:w="710"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bl>
    <w:p>
      <w:pPr>
        <w:pStyle w:val="128"/>
        <w:spacing w:lineRule="auto" w:line="240" w:before="0" w:after="0"/>
        <w:ind w:firstLine="709"/>
        <w:jc w:val="both"/>
        <w:rPr>
          <w:rFonts w:ascii="PT Astra Serif" w:hAnsi="PT Astra Serif"/>
          <w:szCs w:val="24"/>
        </w:rPr>
      </w:pPr>
      <w:r>
        <w:rPr>
          <w:rFonts w:ascii="PT Astra Serif" w:hAnsi="PT Astra Serif"/>
          <w:szCs w:val="24"/>
        </w:rPr>
        <w:t>Предоставляемые услуги включены в поз.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rFonts w:ascii="PT Astra Serif" w:hAnsi="PT Astra Serif"/>
          <w:sz w:val="24"/>
          <w:szCs w:val="24"/>
        </w:rPr>
      </w:pPr>
      <w:r>
        <w:rPr>
          <w:rFonts w:ascii="PT Astra Serif" w:hAnsi="PT Astra Serif"/>
          <w:b/>
          <w:bCs/>
          <w:sz w:val="24"/>
          <w:szCs w:val="24"/>
        </w:rPr>
        <w:t xml:space="preserve">4. Режим оказания технической поддержки: </w:t>
      </w:r>
      <w:r>
        <w:rPr>
          <w:rFonts w:ascii="PT Astra Serif" w:hAnsi="PT Astra Serif"/>
          <w:sz w:val="24"/>
          <w:szCs w:val="24"/>
        </w:rPr>
        <w:t>5 дней в неделю, 8 часов в день;</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время принятия запроса — не более 2 (двух) рабочих часов;</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время на закрытие запроса — 40 рабочих часов;</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график работы — 09:00–18:00 с понедельника по пятницу (часовой пояс Заказчика).</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b/>
          <w:bCs/>
        </w:rPr>
      </w:pPr>
      <w:r>
        <w:rPr>
          <w:rFonts w:ascii="PT Astra Serif" w:hAnsi="PT Astra Serif"/>
          <w:b/>
          <w:bCs/>
          <w:sz w:val="24"/>
          <w:szCs w:val="24"/>
        </w:rPr>
        <w:t>5. Требования к Исполнителю:</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xml:space="preserve">Исполнитель обязан: </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не разглашать служебную и иную конфиденциальную информацию, ставшую ему известной в ходе оказания услуг;</w:t>
      </w:r>
    </w:p>
    <w:p>
      <w:pPr>
        <w:pStyle w:val="Normal"/>
        <w:spacing w:before="0" w:after="0"/>
        <w:ind w:firstLine="709"/>
        <w:contextualSpacing/>
        <w:jc w:val="both"/>
        <w:rPr>
          <w:rFonts w:ascii="PT Astra Serif" w:hAnsi="PT Astra Serif"/>
          <w:sz w:val="24"/>
          <w:szCs w:val="24"/>
        </w:rPr>
      </w:pPr>
      <w:r>
        <w:rPr>
          <w:rFonts w:ascii="PT Astra Serif" w:hAnsi="PT Astra Serif"/>
          <w:color w:val="000000"/>
          <w:sz w:val="24"/>
          <w:szCs w:val="24"/>
        </w:rPr>
        <w:t>- обеспечить сохранение целостности и доступности конфиденциальной информации, доступ к которой получен в ходе оказания услуг.</w:t>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bidi w:val="0"/>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получению обновлений и техническому сопровождению используемого программного обеспечения «КИТ-Журнал».</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55"/>
        <w:gridCol w:w="1134"/>
        <w:gridCol w:w="968"/>
        <w:gridCol w:w="1729"/>
      </w:tblGrid>
      <w:tr>
        <w:trPr/>
        <w:tc>
          <w:tcPr>
            <w:tcW w:w="567" w:type="dxa"/>
            <w:tcBorders>
              <w:top w:val="single" w:sz="4" w:space="0" w:color="000000"/>
              <w:start w:val="single" w:sz="4" w:space="0" w:color="000000"/>
              <w:bottom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5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Цена</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Кол-во</w:t>
            </w:r>
          </w:p>
        </w:tc>
        <w:tc>
          <w:tcPr>
            <w:tcW w:w="96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w:t>
            </w:r>
          </w:p>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rFonts w:cs="Tahoma" w:ascii="PT Astra Serif" w:hAnsi="PT Astra Serif"/>
                <w:sz w:val="24"/>
                <w:szCs w:val="24"/>
              </w:rPr>
              <w:t>Услуги по предоставлению лицензий на право использовать компьютерное программное обеспечение (Передача лицензии на получение обновлений и техническое сопровождение используемого программного обеспечения «КИТ-Журнал: эксперт», конфигурация "Информационная безопасность», на срок 1 год) (код ОКПД2 58.29.50.000)</w:t>
            </w:r>
          </w:p>
        </w:tc>
        <w:tc>
          <w:tcPr>
            <w:tcW w:w="155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w:t>
            </w:r>
          </w:p>
        </w:tc>
        <w:tc>
          <w:tcPr>
            <w:tcW w:w="96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штука</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5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96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p>
    <w:sectPr>
      <w:footerReference w:type="even" r:id="rId7"/>
      <w:footerReference w:type="default" r:id="rId8"/>
      <w:footerReference w:type="first" r:id="rId9"/>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17</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user"/>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user" w:customStyle="1">
    <w:name w:val="Символ сноски (user)"/>
    <w:rPr>
      <w:vertAlign w:val="superscript"/>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user1" w:customStyle="1">
    <w:name w:val="Символ концевой сноски (user)"/>
    <w:rPr>
      <w:vertAlign w:val="superscript"/>
    </w:rPr>
  </w:style>
  <w:style w:type="character" w:styleId="Style11">
    <w:name w:val="Символ концевой сноски"/>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Style27" w:customStyle="1">
    <w:name w:val="Ссылка указателя"/>
    <w:qFormat/>
    <w:rPr/>
  </w:style>
  <w:style w:type="character" w:styleId="Style28" w:customStyle="1">
    <w:name w:val="Символ нумерации"/>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9"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30"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31" w:customStyle="1">
    <w:name w:val="Стиль текста документа Знак"/>
    <w:uiPriority w:val="99"/>
    <w:qFormat/>
    <w:rPr>
      <w:sz w:val="28"/>
      <w:szCs w:val="24"/>
    </w:rPr>
  </w:style>
  <w:style w:type="character" w:styleId="Style32"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3"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4" w:customStyle="1">
    <w:name w:val="Абзац Знак"/>
    <w:uiPriority w:val="99"/>
    <w:qFormat/>
    <w:rPr>
      <w:rFonts w:eastAsia="Arial"/>
      <w:bCs/>
      <w:color w:val="000000"/>
      <w:sz w:val="28"/>
      <w:szCs w:val="24"/>
    </w:rPr>
  </w:style>
  <w:style w:type="character" w:styleId="Style35"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6"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7"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8"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9"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40"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41">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2">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user4">
    <w:name w:val="Колонтитулы (user)"/>
    <w:basedOn w:val="Normal"/>
    <w:pPr/>
    <w:rPr/>
  </w:style>
  <w:style w:type="paragraph" w:styleId="Style43">
    <w:name w:val="Колонтитулы"/>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4"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5"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6"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7" w:customStyle="1">
    <w:name w:val="_Основной с красной строки"/>
    <w:basedOn w:val="128"/>
    <w:qFormat/>
    <w:pPr>
      <w:spacing w:lineRule="exact" w:line="360" w:before="0" w:after="0"/>
      <w:ind w:firstLine="709"/>
    </w:pPr>
    <w:rPr>
      <w:color w:val="000000"/>
    </w:rPr>
  </w:style>
  <w:style w:type="paragraph" w:styleId="Style48"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9"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50" w:customStyle="1">
    <w:name w:val="Шапка таблицы"/>
    <w:basedOn w:val="128"/>
    <w:qFormat/>
    <w:pPr>
      <w:keepNext w:val="true"/>
      <w:spacing w:before="60" w:after="120"/>
    </w:pPr>
    <w:rPr>
      <w:b/>
      <w:color w:val="000000"/>
      <w:sz w:val="22"/>
    </w:rPr>
  </w:style>
  <w:style w:type="paragraph" w:styleId="Style51" w:customStyle="1">
    <w:name w:val="Содержимое таблицы"/>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Style52" w:customStyle="1">
    <w:name w:val="Блочная цитата"/>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53"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4"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user2"/>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5" w:customStyle="1">
    <w:name w:val="Текст_таблицы"/>
    <w:basedOn w:val="128"/>
    <w:qFormat/>
    <w:pPr>
      <w:spacing w:lineRule="auto" w:line="360" w:before="0" w:after="0"/>
    </w:pPr>
    <w:rPr>
      <w:rFonts w:ascii="Calibri" w:hAnsi="Calibri"/>
      <w:sz w:val="28"/>
      <w:szCs w:val="28"/>
    </w:rPr>
  </w:style>
  <w:style w:type="paragraph" w:styleId="Style56" w:customStyle="1">
    <w:name w:val="Текст документа"/>
    <w:basedOn w:val="Style53"/>
    <w:uiPriority w:val="99"/>
    <w:qFormat/>
    <w:pPr>
      <w:spacing w:lineRule="auto" w:line="360"/>
      <w:ind w:firstLine="567" w:start="284" w:end="170"/>
    </w:pPr>
    <w:rPr>
      <w:rFonts w:eastAsia="Calibri"/>
      <w:color w:val="00000A"/>
      <w:sz w:val="28"/>
      <w:szCs w:val="28"/>
      <w:lang w:eastAsia="en-US"/>
    </w:rPr>
  </w:style>
  <w:style w:type="paragraph" w:styleId="Style57"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8"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9"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60" w:customStyle="1">
    <w:name w:val="Абзац"/>
    <w:basedOn w:val="128"/>
    <w:uiPriority w:val="99"/>
    <w:qFormat/>
    <w:pPr>
      <w:spacing w:lineRule="auto" w:line="360" w:beforeAutospacing="1" w:afterAutospacing="1"/>
    </w:pPr>
    <w:rPr>
      <w:rFonts w:eastAsia="Arial"/>
      <w:bCs/>
      <w:color w:val="000000"/>
      <w:sz w:val="28"/>
    </w:rPr>
  </w:style>
  <w:style w:type="paragraph" w:styleId="Style61" w:customStyle="1">
    <w:name w:val="Спис"/>
    <w:basedOn w:val="Style60"/>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62"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63"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4" w:customStyle="1">
    <w:name w:val="А"/>
    <w:basedOn w:val="145"/>
    <w:qFormat/>
    <w:pPr>
      <w:ind w:hanging="0" w:start="0"/>
    </w:pPr>
    <w:rPr/>
  </w:style>
  <w:style w:type="paragraph" w:styleId="146" w:customStyle="1">
    <w:name w:val="А.1"/>
    <w:basedOn w:val="Style64"/>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40"/>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5"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6" w:customStyle="1">
    <w:name w:val="Пункт"/>
    <w:basedOn w:val="Normal"/>
    <w:pPr>
      <w:widowControl w:val="false"/>
      <w:spacing w:before="180" w:after="120"/>
      <w:ind w:firstLine="709"/>
      <w:jc w:val="both"/>
    </w:pPr>
    <w:rPr>
      <w:sz w:val="24"/>
      <w:lang w:eastAsia="ar-SA"/>
    </w:rPr>
  </w:style>
  <w:style w:type="paragraph" w:styleId="Style67" w:customStyle="1">
    <w:name w:val="Заголовок таблицы"/>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numbering" w:styleId="user5" w:default="1">
    <w:name w:val="Без списка (user)"/>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0">
    <w:name w:val="Table Grid Light"/>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1">
    <w:name w:val="Plain Table 1"/>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2">
    <w:name w:val="Plain Table 2"/>
    <w:basedOn w:val="96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3">
    <w:name w:val="Plain Table 3"/>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4">
    <w:name w:val="Plain Table 4"/>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5">
    <w:name w:val="Plain Table 5"/>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6">
    <w:name w:val="Grid Table 1 Light"/>
    <w:basedOn w:val="96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7">
    <w:name w:val="Grid Table 1 Light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8">
    <w:name w:val="Grid Table 1 Light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9">
    <w:name w:val="Grid Table 1 Light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0">
    <w:name w:val="Grid Table 1 Light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1">
    <w:name w:val="Grid Table 1 Light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2">
    <w:name w:val="Grid Table 1 Light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3">
    <w:name w:val="Grid Table 2"/>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4">
    <w:name w:val="Grid Table 2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5">
    <w:name w:val="Grid Table 2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6">
    <w:name w:val="Grid Table 2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7">
    <w:name w:val="Grid Table 2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8">
    <w:name w:val="Grid Table 2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9">
    <w:name w:val="Grid Table 2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0">
    <w:name w:val="Grid Table 3"/>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3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4"/>
    <w:basedOn w:val="96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8">
    <w:name w:val="Grid Table 4 - Accent 1"/>
    <w:basedOn w:val="96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9">
    <w:name w:val="Grid Table 4 - Accent 2"/>
    <w:basedOn w:val="96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0">
    <w:name w:val="Grid Table 4 - Accent 3"/>
    <w:basedOn w:val="96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1">
    <w:name w:val="Grid Table 4 - Accent 4"/>
    <w:basedOn w:val="96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2">
    <w:name w:val="Grid Table 4 - Accent 5"/>
    <w:basedOn w:val="96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3">
    <w:name w:val="Grid Table 4 - Accent 6"/>
    <w:basedOn w:val="96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4">
    <w:name w:val="Grid Table 5 Dark"/>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5">
    <w:name w:val="Grid Table 5 Dark- Accent 1"/>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6">
    <w:name w:val="Grid Table 5 Dark - Accent 2"/>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7">
    <w:name w:val="Grid Table 5 Dark - Accent 3"/>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8">
    <w:name w:val="Grid Table 5 Dark- Accent 4"/>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9">
    <w:name w:val="Grid Table 5 Dark - Accent 5"/>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0">
    <w:name w:val="Grid Table 5 Dark - Accent 6"/>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1">
    <w:name w:val="Grid Table 6 Colorful"/>
    <w:basedOn w:val="96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2">
    <w:name w:val="Grid Table 6 Colorful - Accent 1"/>
    <w:basedOn w:val="96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3">
    <w:name w:val="Grid Table 6 Colorful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74">
    <w:name w:val="Grid Table 6 Colorful - Accent 3"/>
    <w:basedOn w:val="96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75">
    <w:name w:val="Grid Table 6 Colorful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76">
    <w:name w:val="Grid Table 6 Colorful - Accent 5"/>
    <w:basedOn w:val="96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7">
    <w:name w:val="Grid Table 6 Colorful - Accent 6"/>
    <w:basedOn w:val="96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8">
    <w:name w:val="Grid Table 7 Colorful"/>
    <w:basedOn w:val="96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1"/>
    <w:basedOn w:val="96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2"/>
    <w:basedOn w:val="96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1">
    <w:name w:val="Grid Table 7 Colorful - Accent 3"/>
    <w:basedOn w:val="96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4"/>
    <w:basedOn w:val="96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5"/>
    <w:basedOn w:val="96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6"/>
    <w:basedOn w:val="96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5">
    <w:name w:val="List Table 1 Light"/>
    <w:basedOn w:val="96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6">
    <w:name w:val="List Table 1 Light - Accent 1"/>
    <w:basedOn w:val="969"/>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7">
    <w:name w:val="List Table 1 Light - Accent 2"/>
    <w:basedOn w:val="96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8">
    <w:name w:val="List Table 1 Light - Accent 3"/>
    <w:basedOn w:val="96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9">
    <w:name w:val="List Table 1 Light - Accent 4"/>
    <w:basedOn w:val="969"/>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0">
    <w:name w:val="List Table 1 Light - Accent 5"/>
    <w:basedOn w:val="969"/>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1">
    <w:name w:val="List Table 1 Light - Accent 6"/>
    <w:basedOn w:val="969"/>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2">
    <w:name w:val="List Table 2"/>
    <w:basedOn w:val="96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3">
    <w:name w:val="List Table 2 - Accent 1"/>
    <w:basedOn w:val="96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4">
    <w:name w:val="List Table 2 - Accent 2"/>
    <w:basedOn w:val="96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5">
    <w:name w:val="List Table 2 - Accent 3"/>
    <w:basedOn w:val="96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6">
    <w:name w:val="List Table 2 - Accent 4"/>
    <w:basedOn w:val="96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7">
    <w:name w:val="List Table 2 - Accent 5"/>
    <w:basedOn w:val="96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8">
    <w:name w:val="List Table 2 - Accent 6"/>
    <w:basedOn w:val="96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9">
    <w:name w:val="List Table 3"/>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0">
    <w:name w:val="List Table 3 - Accent 1"/>
    <w:basedOn w:val="96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1">
    <w:name w:val="List Table 3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2">
    <w:name w:val="List Table 3 - Accent 3"/>
    <w:basedOn w:val="96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3">
    <w:name w:val="List Table 3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4">
    <w:name w:val="List Table 3 - Accent 5"/>
    <w:basedOn w:val="96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5">
    <w:name w:val="List Table 3 - Accent 6"/>
    <w:basedOn w:val="96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6">
    <w:name w:val="List Table 4"/>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7">
    <w:name w:val="List Table 4 - Accent 1"/>
    <w:basedOn w:val="96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8">
    <w:name w:val="List Table 4 - Accent 2"/>
    <w:basedOn w:val="96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9">
    <w:name w:val="List Table 4 - Accent 3"/>
    <w:basedOn w:val="96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0">
    <w:name w:val="List Table 4 - Accent 4"/>
    <w:basedOn w:val="96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1">
    <w:name w:val="List Table 4 - Accent 5"/>
    <w:basedOn w:val="96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2">
    <w:name w:val="List Table 4 - Accent 6"/>
    <w:basedOn w:val="96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3">
    <w:name w:val="List Table 5 Dark"/>
    <w:basedOn w:val="96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4">
    <w:name w:val="List Table 5 Dark - Accent 1"/>
    <w:basedOn w:val="96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5">
    <w:name w:val="List Table 5 Dark - Accent 2"/>
    <w:basedOn w:val="96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6">
    <w:name w:val="List Table 5 Dark - Accent 3"/>
    <w:basedOn w:val="96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7">
    <w:name w:val="List Table 5 Dark - Accent 4"/>
    <w:basedOn w:val="96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8">
    <w:name w:val="List Table 5 Dark - Accent 5"/>
    <w:basedOn w:val="96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9">
    <w:name w:val="List Table 5 Dark - Accent 6"/>
    <w:basedOn w:val="96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6 Colorful"/>
    <w:basedOn w:val="96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1">
    <w:name w:val="List Table 6 Colorful - Accent 1"/>
    <w:basedOn w:val="96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2">
    <w:name w:val="List Table 6 Colorful - Accent 2"/>
    <w:basedOn w:val="96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3">
    <w:name w:val="List Table 6 Colorful - Accent 3"/>
    <w:basedOn w:val="96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24">
    <w:name w:val="List Table 6 Colorful - Accent 4"/>
    <w:basedOn w:val="96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25">
    <w:name w:val="List Table 6 Colorful - Accent 5"/>
    <w:basedOn w:val="96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26">
    <w:name w:val="List Table 6 Colorful - Accent 6"/>
    <w:basedOn w:val="96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27">
    <w:name w:val="List Table 7 Colorful"/>
    <w:basedOn w:val="96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28">
    <w:name w:val="List Table 7 Colorful - Accent 1"/>
    <w:basedOn w:val="969"/>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29">
    <w:name w:val="List Table 7 Colorful - Accent 2"/>
    <w:basedOn w:val="96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0">
    <w:name w:val="List Table 7 Colorful - Accent 3"/>
    <w:basedOn w:val="96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1">
    <w:name w:val="List Table 7 Colorful - Accent 4"/>
    <w:basedOn w:val="96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2">
    <w:name w:val="List Table 7 Colorful - Accent 5"/>
    <w:basedOn w:val="96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3">
    <w:name w:val="List Table 7 Colorful - Accent 6"/>
    <w:basedOn w:val="96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34">
    <w:name w:val="Lined - Accent"/>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5">
    <w:name w:val="Lined - Accent 1"/>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6">
    <w:name w:val="Lined - Accent 2"/>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7">
    <w:name w:val="Lined - Accent 3"/>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8">
    <w:name w:val="Lined - Accent 4"/>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9">
    <w:name w:val="Lined - Accent 5"/>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0">
    <w:name w:val="Lined - Accent 6"/>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1">
    <w:name w:val="Bordered &amp; Lined - Accent"/>
    <w:basedOn w:val="96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2">
    <w:name w:val="Bordered &amp; Lined - Accent 1"/>
    <w:basedOn w:val="969"/>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3">
    <w:name w:val="Bordered &amp; Lined - Accent 2"/>
    <w:basedOn w:val="969"/>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4">
    <w:name w:val="Bordered &amp; Lined - Accent 3"/>
    <w:basedOn w:val="969"/>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5">
    <w:name w:val="Bordered &amp; Lined - Accent 4"/>
    <w:basedOn w:val="969"/>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6">
    <w:name w:val="Bordered &amp; Lined - Accent 5"/>
    <w:basedOn w:val="969"/>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7">
    <w:name w:val="Bordered &amp; Lined - Accent 6"/>
    <w:basedOn w:val="969"/>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8">
    <w:name w:val="Bordered"/>
    <w:basedOn w:val="96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9">
    <w:name w:val="Bordered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0">
    <w:name w:val="Bordered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1">
    <w:name w:val="Bordered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2">
    <w:name w:val="Bordered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3">
    <w:name w:val="Bordered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4">
    <w:name w:val="Bordered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69">
    <w:name w:val="Normal Table"/>
    <w:uiPriority w:val="99"/>
    <w:semiHidden/>
    <w:unhideWhenUsed/>
    <w:tblPr>
      <w:tblCellMar>
        <w:top w:w="0" w:type="dxa"/>
        <w:left w:w="108" w:type="dxa"/>
        <w:bottom w:w="0" w:type="dxa"/>
        <w:right w:w="108" w:type="dxa"/>
      </w:tblCellMar>
    </w:tblPr>
  </w:style>
  <w:style w:type="table" w:styleId="1491">
    <w:name w:val="Table Grid"/>
    <w:basedOn w:val="969"/>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2">
    <w:name w:val="Table Simple 1"/>
    <w:basedOn w:val="9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3">
    <w:name w:val="Table Classic 1"/>
    <w:basedOn w:val="969"/>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94">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95">
    <w:name w:val="_Таблица"/>
    <w:basedOn w:val="96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6">
    <w:name w:val="Table Web 2"/>
    <w:basedOn w:val="96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1">
    <w:name w:val="Веб-таблица 31"/>
    <w:basedOn w:val="969"/>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2">
    <w:name w:val="Table Web 3"/>
    <w:basedOn w:val="969"/>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customStyle="1" w:styleId="1531">
    <w:name w:val="Сетка таблицы1"/>
    <w:uiPriority w:val="59"/>
    <w:pPr>
      <w:spacing w:before="0" w:after="60" w:line="240" w:lineRule="auto"/>
      <w:ind w:right="0"/>
      <w:jc w:val="both"/>
    </w:pPr>
    <w:rPr>
      <w:b w:val="0"/>
      <w:bCs w:val="0"/>
      <w:i w:val="0"/>
      <w:caps w:val="0"/>
      <w:smallCaps w:val="0"/>
      <w:spacing w:val="0"/>
      <w:sz w:val="20"/>
      <w:szCs w:val="20"/>
      <w:lang w:val="ru-RU" w:eastAsia="ru-RU" w:bidi="ar-SA"/>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LibreOffice/26.8.0.1$Windows_X86_64 LibreOffice_project/2577b8a8e9a5d3f37124fb86a89387e3807953a7</Application>
  <AppVersion>15.0000</AppVersion>
  <Pages>17</Pages>
  <Words>6382</Words>
  <Characters>45201</Characters>
  <CharactersWithSpaces>51389</CharactersWithSpaces>
  <Paragraphs>319</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2026-09-07T11:54:11Z</cp:lastPrinted>
  <dcterms:modified xsi:type="dcterms:W3CDTF">2026-09-09T10:16:35Z</dcterms:modified>
  <cp:revision>312</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